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66943" w14:textId="07E93388" w:rsidR="00773E08" w:rsidRPr="0025703A" w:rsidRDefault="00EC4FD8" w:rsidP="00773E08">
      <w:pPr>
        <w:jc w:val="center"/>
        <w:rPr>
          <w:rFonts w:asciiTheme="minorHAnsi" w:hAnsiTheme="minorHAnsi" w:cstheme="minorHAnsi"/>
          <w:b/>
          <w:sz w:val="28"/>
        </w:rPr>
      </w:pPr>
      <w:bookmarkStart w:id="0" w:name="_GoBack"/>
      <w:r>
        <w:rPr>
          <w:rFonts w:asciiTheme="minorHAnsi" w:hAnsiTheme="minorHAnsi" w:cstheme="minorHAnsi"/>
          <w:b/>
          <w:sz w:val="28"/>
        </w:rPr>
        <w:t>Policy G</w:t>
      </w:r>
      <w:r w:rsidR="00660BD3" w:rsidRPr="0025703A">
        <w:rPr>
          <w:rFonts w:asciiTheme="minorHAnsi" w:hAnsiTheme="minorHAnsi" w:cstheme="minorHAnsi"/>
          <w:b/>
          <w:sz w:val="28"/>
        </w:rPr>
        <w:t>uidance on C</w:t>
      </w:r>
      <w:r w:rsidR="00773E08" w:rsidRPr="0025703A">
        <w:rPr>
          <w:rFonts w:asciiTheme="minorHAnsi" w:hAnsiTheme="minorHAnsi" w:cstheme="minorHAnsi"/>
          <w:b/>
          <w:sz w:val="28"/>
        </w:rPr>
        <w:t xml:space="preserve">annabis and Industrial Hemp </w:t>
      </w:r>
      <w:r>
        <w:rPr>
          <w:rFonts w:asciiTheme="minorHAnsi" w:hAnsiTheme="minorHAnsi" w:cstheme="minorHAnsi"/>
          <w:b/>
          <w:sz w:val="28"/>
        </w:rPr>
        <w:t>R</w:t>
      </w:r>
      <w:r w:rsidR="00773E08" w:rsidRPr="0025703A">
        <w:rPr>
          <w:rFonts w:asciiTheme="minorHAnsi" w:hAnsiTheme="minorHAnsi" w:cstheme="minorHAnsi"/>
          <w:b/>
          <w:sz w:val="28"/>
        </w:rPr>
        <w:t>esearch</w:t>
      </w:r>
      <w:r w:rsidR="00660BD3" w:rsidRPr="0025703A">
        <w:rPr>
          <w:rFonts w:asciiTheme="minorHAnsi" w:hAnsiTheme="minorHAnsi" w:cstheme="minorHAnsi"/>
          <w:b/>
          <w:sz w:val="28"/>
        </w:rPr>
        <w:t xml:space="preserve"> at UC Davis</w:t>
      </w:r>
    </w:p>
    <w:bookmarkEnd w:id="0"/>
    <w:p w14:paraId="2FCF6F23" w14:textId="77777777" w:rsidR="00773E08" w:rsidRDefault="00773E08">
      <w:pPr>
        <w:rPr>
          <w:rFonts w:asciiTheme="minorHAnsi" w:hAnsiTheme="minorHAnsi" w:cstheme="minorHAnsi"/>
          <w:b/>
          <w:sz w:val="22"/>
        </w:rPr>
      </w:pPr>
    </w:p>
    <w:p w14:paraId="1269E7EA" w14:textId="77777777" w:rsidR="0025703A" w:rsidRDefault="0025703A">
      <w:pPr>
        <w:rPr>
          <w:rFonts w:asciiTheme="minorHAnsi" w:hAnsiTheme="minorHAnsi" w:cstheme="minorHAnsi"/>
          <w:b/>
          <w:sz w:val="21"/>
        </w:rPr>
      </w:pPr>
    </w:p>
    <w:p w14:paraId="6259BAFA" w14:textId="017F79A2" w:rsidR="009B0C50" w:rsidRPr="00773E08" w:rsidRDefault="009B0C50">
      <w:pPr>
        <w:rPr>
          <w:rFonts w:asciiTheme="minorHAnsi" w:hAnsiTheme="minorHAnsi" w:cstheme="minorHAnsi"/>
          <w:b/>
          <w:sz w:val="21"/>
        </w:rPr>
      </w:pPr>
      <w:r w:rsidRPr="00773E08">
        <w:rPr>
          <w:rFonts w:asciiTheme="minorHAnsi" w:hAnsiTheme="minorHAnsi" w:cstheme="minorHAnsi"/>
          <w:b/>
          <w:sz w:val="21"/>
        </w:rPr>
        <w:t>Industrial hemp (&lt;0.3% THC)</w:t>
      </w:r>
    </w:p>
    <w:p w14:paraId="482325D6" w14:textId="511B5FC4" w:rsidR="004B7F25" w:rsidRPr="00773E08" w:rsidRDefault="004B7F25" w:rsidP="000B24DB">
      <w:pPr>
        <w:pStyle w:val="ListParagraph"/>
        <w:numPr>
          <w:ilvl w:val="0"/>
          <w:numId w:val="2"/>
        </w:numPr>
        <w:rPr>
          <w:rFonts w:asciiTheme="minorHAnsi" w:hAnsiTheme="minorHAnsi" w:cstheme="minorHAnsi"/>
          <w:sz w:val="21"/>
        </w:rPr>
      </w:pPr>
      <w:r w:rsidRPr="00773E08">
        <w:rPr>
          <w:rFonts w:asciiTheme="minorHAnsi" w:hAnsiTheme="minorHAnsi" w:cstheme="minorHAnsi"/>
          <w:sz w:val="21"/>
        </w:rPr>
        <w:t xml:space="preserve">Do not need a </w:t>
      </w:r>
      <w:r w:rsidR="00C75ECB" w:rsidRPr="00773E08">
        <w:rPr>
          <w:rFonts w:asciiTheme="minorHAnsi" w:hAnsiTheme="minorHAnsi" w:cstheme="minorHAnsi"/>
          <w:sz w:val="21"/>
        </w:rPr>
        <w:t xml:space="preserve">DEA </w:t>
      </w:r>
      <w:r w:rsidRPr="00773E08">
        <w:rPr>
          <w:rFonts w:asciiTheme="minorHAnsi" w:hAnsiTheme="minorHAnsi" w:cstheme="minorHAnsi"/>
          <w:sz w:val="21"/>
        </w:rPr>
        <w:t>Schedule I registration</w:t>
      </w:r>
      <w:r w:rsidR="0094759C" w:rsidRPr="00773E08">
        <w:rPr>
          <w:rFonts w:asciiTheme="minorHAnsi" w:hAnsiTheme="minorHAnsi" w:cstheme="minorHAnsi"/>
          <w:sz w:val="21"/>
        </w:rPr>
        <w:t xml:space="preserve"> for research projects</w:t>
      </w:r>
    </w:p>
    <w:p w14:paraId="2053C591" w14:textId="7CDE9C3F" w:rsidR="009B0C50" w:rsidRPr="00EC4FD8" w:rsidRDefault="00660BD3" w:rsidP="000B24DB">
      <w:pPr>
        <w:pStyle w:val="ListParagraph"/>
        <w:numPr>
          <w:ilvl w:val="0"/>
          <w:numId w:val="2"/>
        </w:numPr>
        <w:rPr>
          <w:rFonts w:asciiTheme="minorHAnsi" w:hAnsiTheme="minorHAnsi" w:cstheme="minorHAnsi"/>
          <w:sz w:val="21"/>
        </w:rPr>
      </w:pPr>
      <w:r w:rsidRPr="00EC4FD8">
        <w:rPr>
          <w:rFonts w:asciiTheme="minorHAnsi" w:hAnsiTheme="minorHAnsi" w:cstheme="minorHAnsi"/>
          <w:sz w:val="21"/>
        </w:rPr>
        <w:t>May consider accepting</w:t>
      </w:r>
      <w:r w:rsidR="009B0C50" w:rsidRPr="00EC4FD8">
        <w:rPr>
          <w:rFonts w:asciiTheme="minorHAnsi" w:hAnsiTheme="minorHAnsi" w:cstheme="minorHAnsi"/>
          <w:sz w:val="21"/>
        </w:rPr>
        <w:t xml:space="preserve"> research funding </w:t>
      </w:r>
      <w:r w:rsidR="004B7F25" w:rsidRPr="00EC4FD8">
        <w:rPr>
          <w:rFonts w:asciiTheme="minorHAnsi" w:hAnsiTheme="minorHAnsi" w:cstheme="minorHAnsi"/>
          <w:sz w:val="21"/>
        </w:rPr>
        <w:t>(not tied to cannabis industry)</w:t>
      </w:r>
    </w:p>
    <w:p w14:paraId="3BD7E1E4" w14:textId="0472597F" w:rsidR="009B0C50" w:rsidRPr="00EC4FD8" w:rsidRDefault="009B0C50" w:rsidP="000B24DB">
      <w:pPr>
        <w:pStyle w:val="ListParagraph"/>
        <w:numPr>
          <w:ilvl w:val="0"/>
          <w:numId w:val="2"/>
        </w:numPr>
        <w:rPr>
          <w:rFonts w:asciiTheme="minorHAnsi" w:eastAsiaTheme="minorHAnsi" w:hAnsiTheme="minorHAnsi" w:cstheme="minorHAnsi"/>
          <w:sz w:val="21"/>
        </w:rPr>
      </w:pPr>
      <w:r w:rsidRPr="00EC4FD8">
        <w:rPr>
          <w:rFonts w:asciiTheme="minorHAnsi" w:eastAsiaTheme="minorHAnsi" w:hAnsiTheme="minorHAnsi" w:cstheme="minorHAnsi"/>
          <w:sz w:val="21"/>
        </w:rPr>
        <w:t>Research involving human or animal subjects remain subject to FDA requirements.</w:t>
      </w:r>
    </w:p>
    <w:p w14:paraId="31E00A05" w14:textId="44E90F77" w:rsidR="00A3782F" w:rsidRPr="00EC4FD8" w:rsidRDefault="00A3782F" w:rsidP="000B24DB">
      <w:pPr>
        <w:pStyle w:val="ListParagraph"/>
        <w:numPr>
          <w:ilvl w:val="0"/>
          <w:numId w:val="2"/>
        </w:numPr>
        <w:rPr>
          <w:rFonts w:asciiTheme="minorHAnsi" w:eastAsiaTheme="minorHAnsi" w:hAnsiTheme="minorHAnsi" w:cstheme="minorHAnsi"/>
          <w:sz w:val="21"/>
        </w:rPr>
      </w:pPr>
      <w:r w:rsidRPr="00EC4FD8">
        <w:rPr>
          <w:rFonts w:asciiTheme="minorHAnsi" w:eastAsiaTheme="minorHAnsi" w:hAnsiTheme="minorHAnsi" w:cstheme="minorHAnsi"/>
          <w:sz w:val="21"/>
        </w:rPr>
        <w:t>Can analyze in laboratory</w:t>
      </w:r>
    </w:p>
    <w:p w14:paraId="3C031E19" w14:textId="3B65C747" w:rsidR="00A3782F" w:rsidRPr="00EC4FD8" w:rsidRDefault="00A3782F" w:rsidP="000B24DB">
      <w:pPr>
        <w:pStyle w:val="ListParagraph"/>
        <w:numPr>
          <w:ilvl w:val="0"/>
          <w:numId w:val="2"/>
        </w:numPr>
        <w:rPr>
          <w:rFonts w:asciiTheme="minorHAnsi" w:eastAsiaTheme="minorHAnsi" w:hAnsiTheme="minorHAnsi" w:cstheme="minorHAnsi"/>
          <w:sz w:val="21"/>
        </w:rPr>
      </w:pPr>
      <w:r w:rsidRPr="00EC4FD8">
        <w:rPr>
          <w:rFonts w:asciiTheme="minorHAnsi" w:eastAsiaTheme="minorHAnsi" w:hAnsiTheme="minorHAnsi" w:cstheme="minorHAnsi"/>
          <w:sz w:val="21"/>
        </w:rPr>
        <w:t>Can provide advice to hemp growers in compliance with federal and state law</w:t>
      </w:r>
    </w:p>
    <w:p w14:paraId="24137E6D" w14:textId="626DB335" w:rsidR="004B7F25" w:rsidRPr="00EC4FD8" w:rsidRDefault="004B7F25" w:rsidP="000B24DB">
      <w:pPr>
        <w:pStyle w:val="ListParagraph"/>
        <w:numPr>
          <w:ilvl w:val="0"/>
          <w:numId w:val="2"/>
        </w:numPr>
        <w:rPr>
          <w:rFonts w:asciiTheme="minorHAnsi" w:eastAsiaTheme="minorHAnsi" w:hAnsiTheme="minorHAnsi" w:cstheme="minorHAnsi"/>
          <w:sz w:val="21"/>
        </w:rPr>
      </w:pPr>
      <w:r w:rsidRPr="00EC4FD8">
        <w:rPr>
          <w:rFonts w:asciiTheme="minorHAnsi" w:eastAsiaTheme="minorHAnsi" w:hAnsiTheme="minorHAnsi" w:cstheme="minorHAnsi"/>
          <w:sz w:val="21"/>
        </w:rPr>
        <w:t>Can cultivate under specific conditions</w:t>
      </w:r>
      <w:r w:rsidR="00A3782F" w:rsidRPr="00EC4FD8">
        <w:rPr>
          <w:rFonts w:asciiTheme="minorHAnsi" w:eastAsiaTheme="minorHAnsi" w:hAnsiTheme="minorHAnsi" w:cstheme="minorHAnsi"/>
          <w:sz w:val="21"/>
        </w:rPr>
        <w:t>:</w:t>
      </w:r>
    </w:p>
    <w:p w14:paraId="54EFA211" w14:textId="4DCBF219" w:rsidR="00690385" w:rsidRPr="00EC4FD8" w:rsidRDefault="00690385" w:rsidP="000B24DB">
      <w:pPr>
        <w:pStyle w:val="ListParagraph"/>
        <w:numPr>
          <w:ilvl w:val="1"/>
          <w:numId w:val="2"/>
        </w:numPr>
        <w:rPr>
          <w:rFonts w:asciiTheme="minorHAnsi" w:eastAsiaTheme="minorHAnsi" w:hAnsiTheme="minorHAnsi" w:cstheme="minorHAnsi"/>
          <w:sz w:val="21"/>
        </w:rPr>
      </w:pPr>
      <w:r w:rsidRPr="00EC4FD8">
        <w:rPr>
          <w:rFonts w:asciiTheme="minorHAnsi" w:eastAsiaTheme="minorHAnsi" w:hAnsiTheme="minorHAnsi" w:cstheme="minorHAnsi"/>
          <w:sz w:val="21"/>
        </w:rPr>
        <w:t xml:space="preserve">Ensure that individuals </w:t>
      </w:r>
      <w:r w:rsidR="004B7F25" w:rsidRPr="00EC4FD8">
        <w:rPr>
          <w:rFonts w:asciiTheme="minorHAnsi" w:eastAsiaTheme="minorHAnsi" w:hAnsiTheme="minorHAnsi" w:cstheme="minorHAnsi"/>
          <w:sz w:val="21"/>
        </w:rPr>
        <w:t>participating</w:t>
      </w:r>
      <w:r w:rsidRPr="00EC4FD8">
        <w:rPr>
          <w:rFonts w:asciiTheme="minorHAnsi" w:eastAsiaTheme="minorHAnsi" w:hAnsiTheme="minorHAnsi" w:cstheme="minorHAnsi"/>
          <w:sz w:val="21"/>
        </w:rPr>
        <w:t xml:space="preserve"> in cultivation do not have felony convictions</w:t>
      </w:r>
      <w:r w:rsidR="00BF69DD" w:rsidRPr="00EC4FD8">
        <w:rPr>
          <w:rFonts w:asciiTheme="minorHAnsi" w:eastAsiaTheme="minorHAnsi" w:hAnsiTheme="minorHAnsi" w:cstheme="minorHAnsi"/>
          <w:sz w:val="21"/>
        </w:rPr>
        <w:t xml:space="preserve"> for controlled substances</w:t>
      </w:r>
      <w:r w:rsidRPr="00EC4FD8">
        <w:rPr>
          <w:rFonts w:asciiTheme="minorHAnsi" w:eastAsiaTheme="minorHAnsi" w:hAnsiTheme="minorHAnsi" w:cstheme="minorHAnsi"/>
          <w:sz w:val="21"/>
        </w:rPr>
        <w:t>. </w:t>
      </w:r>
    </w:p>
    <w:p w14:paraId="723E2739" w14:textId="77777777" w:rsidR="00BF69DD" w:rsidRPr="00EC4FD8" w:rsidRDefault="00BF69DD" w:rsidP="000B24DB">
      <w:pPr>
        <w:pStyle w:val="ListParagraph"/>
        <w:numPr>
          <w:ilvl w:val="1"/>
          <w:numId w:val="2"/>
        </w:numPr>
        <w:rPr>
          <w:rFonts w:asciiTheme="minorHAnsi" w:eastAsiaTheme="minorHAnsi" w:hAnsiTheme="minorHAnsi" w:cstheme="minorHAnsi"/>
          <w:sz w:val="21"/>
        </w:rPr>
      </w:pPr>
      <w:r w:rsidRPr="00EC4FD8">
        <w:rPr>
          <w:rFonts w:asciiTheme="minorHAnsi" w:eastAsiaTheme="minorHAnsi" w:hAnsiTheme="minorHAnsi" w:cstheme="minorHAnsi"/>
          <w:sz w:val="21"/>
        </w:rPr>
        <w:t>Maintain relevant information regarding the land on which hemp is to be grown for three years;</w:t>
      </w:r>
    </w:p>
    <w:p w14:paraId="4B4C0052" w14:textId="157001D4" w:rsidR="004B7F25" w:rsidRPr="00EC4FD8" w:rsidRDefault="00BF69DD" w:rsidP="000B24DB">
      <w:pPr>
        <w:pStyle w:val="ListParagraph"/>
        <w:numPr>
          <w:ilvl w:val="1"/>
          <w:numId w:val="2"/>
        </w:numPr>
        <w:rPr>
          <w:rFonts w:asciiTheme="minorHAnsi" w:eastAsiaTheme="minorHAnsi" w:hAnsiTheme="minorHAnsi" w:cstheme="minorHAnsi"/>
          <w:sz w:val="21"/>
        </w:rPr>
      </w:pPr>
      <w:r w:rsidRPr="00EC4FD8">
        <w:rPr>
          <w:rFonts w:asciiTheme="minorHAnsi" w:eastAsiaTheme="minorHAnsi" w:hAnsiTheme="minorHAnsi" w:cstheme="minorHAnsi"/>
          <w:sz w:val="21"/>
        </w:rPr>
        <w:t>Obtain seeds or cultivars certified to contain no more than 0.3% THC</w:t>
      </w:r>
      <w:r w:rsidR="000B24DB" w:rsidRPr="00EC4FD8">
        <w:rPr>
          <w:rFonts w:asciiTheme="minorHAnsi" w:eastAsiaTheme="minorHAnsi" w:hAnsiTheme="minorHAnsi" w:cstheme="minorHAnsi"/>
          <w:sz w:val="21"/>
        </w:rPr>
        <w:t xml:space="preserve"> (importing from abroad, under a DEA import registration, is a clearly permissible avenue for obtaining viable industrial hemp seed and cultivars)</w:t>
      </w:r>
    </w:p>
    <w:p w14:paraId="32EC9922" w14:textId="77777777" w:rsidR="004B7F25" w:rsidRPr="00EC4FD8" w:rsidRDefault="00BF69DD" w:rsidP="000B24DB">
      <w:pPr>
        <w:pStyle w:val="ListParagraph"/>
        <w:numPr>
          <w:ilvl w:val="1"/>
          <w:numId w:val="2"/>
        </w:numPr>
        <w:rPr>
          <w:rFonts w:asciiTheme="minorHAnsi" w:eastAsiaTheme="minorHAnsi" w:hAnsiTheme="minorHAnsi" w:cstheme="minorHAnsi"/>
          <w:sz w:val="21"/>
        </w:rPr>
      </w:pPr>
      <w:r w:rsidRPr="00EC4FD8">
        <w:rPr>
          <w:rFonts w:asciiTheme="minorHAnsi" w:eastAsiaTheme="minorHAnsi" w:hAnsiTheme="minorHAnsi" w:cstheme="minorHAnsi"/>
          <w:sz w:val="21"/>
        </w:rPr>
        <w:t>A procedure for on-going testing of THC concentration levels of the hemp produced</w:t>
      </w:r>
    </w:p>
    <w:p w14:paraId="6674FA8F" w14:textId="591B00D9" w:rsidR="00BF69DD" w:rsidRPr="00EC4FD8" w:rsidRDefault="00BF69DD" w:rsidP="000B24DB">
      <w:pPr>
        <w:pStyle w:val="ListParagraph"/>
        <w:numPr>
          <w:ilvl w:val="1"/>
          <w:numId w:val="2"/>
        </w:numPr>
        <w:rPr>
          <w:rFonts w:asciiTheme="minorHAnsi" w:eastAsiaTheme="minorHAnsi" w:hAnsiTheme="minorHAnsi" w:cstheme="minorHAnsi"/>
          <w:sz w:val="21"/>
        </w:rPr>
      </w:pPr>
      <w:r w:rsidRPr="00EC4FD8">
        <w:rPr>
          <w:rFonts w:asciiTheme="minorHAnsi" w:eastAsiaTheme="minorHAnsi" w:hAnsiTheme="minorHAnsi" w:cstheme="minorHAnsi"/>
          <w:sz w:val="21"/>
        </w:rPr>
        <w:t>A procedure for effective disposal of plants, growing or not, and their derivatives, that exceed 0.3% concentration of THC.</w:t>
      </w:r>
    </w:p>
    <w:p w14:paraId="7BFC7898" w14:textId="5CD72666" w:rsidR="00A3782F" w:rsidRPr="00EC4FD8" w:rsidRDefault="00A3782F" w:rsidP="000B24DB">
      <w:pPr>
        <w:pStyle w:val="ListParagraph"/>
        <w:numPr>
          <w:ilvl w:val="1"/>
          <w:numId w:val="2"/>
        </w:numPr>
        <w:rPr>
          <w:rFonts w:asciiTheme="minorHAnsi" w:eastAsiaTheme="minorHAnsi" w:hAnsiTheme="minorHAnsi" w:cstheme="minorHAnsi"/>
          <w:sz w:val="21"/>
        </w:rPr>
      </w:pPr>
      <w:r w:rsidRPr="00EC4FD8">
        <w:rPr>
          <w:rFonts w:asciiTheme="minorHAnsi" w:eastAsiaTheme="minorHAnsi" w:hAnsiTheme="minorHAnsi" w:cstheme="minorHAnsi"/>
          <w:sz w:val="21"/>
        </w:rPr>
        <w:t>Notify county ag commissioner prior to cultivation, provide specified info</w:t>
      </w:r>
    </w:p>
    <w:p w14:paraId="5D6A67DB" w14:textId="4C8A49B3" w:rsidR="00A3782F" w:rsidRPr="00EC4FD8" w:rsidRDefault="00A3782F" w:rsidP="000B24DB">
      <w:pPr>
        <w:pStyle w:val="ListParagraph"/>
        <w:numPr>
          <w:ilvl w:val="1"/>
          <w:numId w:val="2"/>
        </w:numPr>
        <w:rPr>
          <w:rFonts w:asciiTheme="minorHAnsi" w:eastAsiaTheme="minorHAnsi" w:hAnsiTheme="minorHAnsi" w:cstheme="minorHAnsi"/>
          <w:sz w:val="21"/>
        </w:rPr>
      </w:pPr>
      <w:r w:rsidRPr="00EC4FD8">
        <w:rPr>
          <w:rFonts w:asciiTheme="minorHAnsi" w:eastAsiaTheme="minorHAnsi" w:hAnsiTheme="minorHAnsi" w:cstheme="minorHAnsi"/>
          <w:sz w:val="21"/>
        </w:rPr>
        <w:t>Adequate signage indicating industrial hemp &lt;0.3% THC</w:t>
      </w:r>
    </w:p>
    <w:p w14:paraId="603C65C6" w14:textId="50B367F4" w:rsidR="00A3782F" w:rsidRPr="00EC4FD8" w:rsidRDefault="00C75ECB" w:rsidP="000B24DB">
      <w:pPr>
        <w:pStyle w:val="ListParagraph"/>
        <w:numPr>
          <w:ilvl w:val="0"/>
          <w:numId w:val="2"/>
        </w:numPr>
        <w:rPr>
          <w:rFonts w:asciiTheme="minorHAnsi" w:hAnsiTheme="minorHAnsi" w:cstheme="minorHAnsi"/>
          <w:sz w:val="21"/>
        </w:rPr>
      </w:pPr>
      <w:r w:rsidRPr="00EC4FD8">
        <w:rPr>
          <w:rFonts w:asciiTheme="minorHAnsi" w:hAnsiTheme="minorHAnsi" w:cstheme="minorHAnsi"/>
          <w:sz w:val="21"/>
          <w:u w:val="single"/>
        </w:rPr>
        <w:t xml:space="preserve">May consider </w:t>
      </w:r>
      <w:r w:rsidR="00A3782F" w:rsidRPr="00EC4FD8">
        <w:rPr>
          <w:rFonts w:asciiTheme="minorHAnsi" w:hAnsiTheme="minorHAnsi" w:cstheme="minorHAnsi"/>
          <w:sz w:val="21"/>
          <w:u w:val="single"/>
        </w:rPr>
        <w:t>partner</w:t>
      </w:r>
      <w:r w:rsidRPr="00EC4FD8">
        <w:rPr>
          <w:rFonts w:asciiTheme="minorHAnsi" w:hAnsiTheme="minorHAnsi" w:cstheme="minorHAnsi"/>
          <w:sz w:val="21"/>
          <w:u w:val="single"/>
        </w:rPr>
        <w:t>ing</w:t>
      </w:r>
      <w:r w:rsidR="00A3782F" w:rsidRPr="00EC4FD8">
        <w:rPr>
          <w:rFonts w:asciiTheme="minorHAnsi" w:hAnsiTheme="minorHAnsi" w:cstheme="minorHAnsi"/>
          <w:sz w:val="21"/>
        </w:rPr>
        <w:t xml:space="preserve"> with private hemp growers</w:t>
      </w:r>
      <w:r w:rsidR="00A3387D" w:rsidRPr="00EC4FD8">
        <w:rPr>
          <w:rFonts w:asciiTheme="minorHAnsi" w:hAnsiTheme="minorHAnsi" w:cstheme="minorHAnsi"/>
          <w:sz w:val="21"/>
        </w:rPr>
        <w:t>.</w:t>
      </w:r>
      <w:r w:rsidR="00A3782F" w:rsidRPr="00EC4FD8">
        <w:rPr>
          <w:rFonts w:asciiTheme="minorHAnsi" w:hAnsiTheme="minorHAnsi" w:cstheme="minorHAnsi"/>
          <w:sz w:val="21"/>
        </w:rPr>
        <w:t xml:space="preserve"> UCOP advises campuses to evaluate risks on a case-by-case basis and to coordinate with campus counsel as appropriate. </w:t>
      </w:r>
    </w:p>
    <w:p w14:paraId="13E35326" w14:textId="1CDE33B7" w:rsidR="009B0C50" w:rsidRPr="00773E08" w:rsidRDefault="009B0C50">
      <w:pPr>
        <w:rPr>
          <w:rFonts w:asciiTheme="minorHAnsi" w:hAnsiTheme="minorHAnsi" w:cstheme="minorHAnsi"/>
          <w:sz w:val="21"/>
        </w:rPr>
      </w:pPr>
    </w:p>
    <w:p w14:paraId="1372A66F" w14:textId="19D84FBA" w:rsidR="009B0C50" w:rsidRPr="00773E08" w:rsidRDefault="009B0C50">
      <w:pPr>
        <w:rPr>
          <w:rFonts w:asciiTheme="minorHAnsi" w:hAnsiTheme="minorHAnsi" w:cstheme="minorHAnsi"/>
          <w:b/>
          <w:sz w:val="21"/>
        </w:rPr>
      </w:pPr>
      <w:r w:rsidRPr="00773E08">
        <w:rPr>
          <w:rFonts w:asciiTheme="minorHAnsi" w:hAnsiTheme="minorHAnsi" w:cstheme="minorHAnsi"/>
          <w:b/>
          <w:sz w:val="21"/>
        </w:rPr>
        <w:t>Cannabis (&gt;0.3% THC)</w:t>
      </w:r>
    </w:p>
    <w:p w14:paraId="4A798A70" w14:textId="4F234F83" w:rsidR="000B24DB" w:rsidRPr="00773E08" w:rsidRDefault="000B24DB" w:rsidP="000B24DB">
      <w:pPr>
        <w:pStyle w:val="ListParagraph"/>
        <w:numPr>
          <w:ilvl w:val="0"/>
          <w:numId w:val="3"/>
        </w:numPr>
        <w:rPr>
          <w:rFonts w:asciiTheme="minorHAnsi" w:hAnsiTheme="minorHAnsi" w:cstheme="minorHAnsi"/>
          <w:sz w:val="21"/>
        </w:rPr>
      </w:pPr>
      <w:r w:rsidRPr="00773E08">
        <w:rPr>
          <w:rFonts w:asciiTheme="minorHAnsi" w:hAnsiTheme="minorHAnsi" w:cstheme="minorHAnsi"/>
          <w:sz w:val="21"/>
        </w:rPr>
        <w:t>Must obtain</w:t>
      </w:r>
      <w:r w:rsidR="004B7F25" w:rsidRPr="00773E08">
        <w:rPr>
          <w:rFonts w:asciiTheme="minorHAnsi" w:hAnsiTheme="minorHAnsi" w:cstheme="minorHAnsi"/>
          <w:sz w:val="21"/>
        </w:rPr>
        <w:t xml:space="preserve"> </w:t>
      </w:r>
      <w:r w:rsidR="00C75ECB" w:rsidRPr="00773E08">
        <w:rPr>
          <w:rFonts w:asciiTheme="minorHAnsi" w:hAnsiTheme="minorHAnsi" w:cstheme="minorHAnsi"/>
          <w:sz w:val="21"/>
        </w:rPr>
        <w:t xml:space="preserve">DEA </w:t>
      </w:r>
      <w:r w:rsidR="004B7F25" w:rsidRPr="00773E08">
        <w:rPr>
          <w:rFonts w:asciiTheme="minorHAnsi" w:hAnsiTheme="minorHAnsi" w:cstheme="minorHAnsi"/>
          <w:sz w:val="21"/>
        </w:rPr>
        <w:t>Schedule I registration</w:t>
      </w:r>
      <w:r w:rsidR="0094759C" w:rsidRPr="00773E08">
        <w:rPr>
          <w:rFonts w:asciiTheme="minorHAnsi" w:hAnsiTheme="minorHAnsi" w:cstheme="minorHAnsi"/>
          <w:sz w:val="21"/>
        </w:rPr>
        <w:t xml:space="preserve"> for research projects</w:t>
      </w:r>
    </w:p>
    <w:p w14:paraId="615B2BF5" w14:textId="0BC26F37" w:rsidR="004B7F25" w:rsidRPr="00773E08" w:rsidRDefault="000B24DB" w:rsidP="000B24DB">
      <w:pPr>
        <w:pStyle w:val="ListParagraph"/>
        <w:numPr>
          <w:ilvl w:val="0"/>
          <w:numId w:val="3"/>
        </w:numPr>
        <w:rPr>
          <w:rFonts w:asciiTheme="minorHAnsi" w:hAnsiTheme="minorHAnsi" w:cstheme="minorHAnsi"/>
          <w:sz w:val="21"/>
        </w:rPr>
      </w:pPr>
      <w:r w:rsidRPr="00773E08">
        <w:rPr>
          <w:rFonts w:asciiTheme="minorHAnsi" w:hAnsiTheme="minorHAnsi" w:cstheme="minorHAnsi"/>
          <w:sz w:val="21"/>
        </w:rPr>
        <w:t>M</w:t>
      </w:r>
      <w:r w:rsidR="00C75ECB" w:rsidRPr="00773E08">
        <w:rPr>
          <w:rFonts w:asciiTheme="minorHAnsi" w:hAnsiTheme="minorHAnsi" w:cstheme="minorHAnsi"/>
          <w:sz w:val="21"/>
        </w:rPr>
        <w:t xml:space="preserve">ust </w:t>
      </w:r>
      <w:r w:rsidRPr="00773E08">
        <w:rPr>
          <w:rFonts w:asciiTheme="minorHAnsi" w:hAnsiTheme="minorHAnsi" w:cstheme="minorHAnsi"/>
          <w:sz w:val="21"/>
        </w:rPr>
        <w:t>obtain</w:t>
      </w:r>
      <w:r w:rsidR="00C75ECB" w:rsidRPr="00773E08">
        <w:rPr>
          <w:rFonts w:asciiTheme="minorHAnsi" w:hAnsiTheme="minorHAnsi" w:cstheme="minorHAnsi"/>
          <w:sz w:val="21"/>
        </w:rPr>
        <w:t xml:space="preserve"> cannabis </w:t>
      </w:r>
      <w:r w:rsidRPr="00773E08">
        <w:rPr>
          <w:rFonts w:asciiTheme="minorHAnsi" w:hAnsiTheme="minorHAnsi" w:cstheme="minorHAnsi"/>
          <w:sz w:val="21"/>
        </w:rPr>
        <w:t>from</w:t>
      </w:r>
      <w:r w:rsidR="00C75ECB" w:rsidRPr="00773E08">
        <w:rPr>
          <w:rFonts w:asciiTheme="minorHAnsi" w:hAnsiTheme="minorHAnsi" w:cstheme="minorHAnsi"/>
          <w:sz w:val="21"/>
        </w:rPr>
        <w:t xml:space="preserve"> National Institute on Drug Abuse (NIDA), produced at University of Mississippi.</w:t>
      </w:r>
    </w:p>
    <w:p w14:paraId="5CD7FC75" w14:textId="6D3FD4C7" w:rsidR="00C75ECB" w:rsidRPr="00773E08" w:rsidRDefault="00C75ECB" w:rsidP="000B24DB">
      <w:pPr>
        <w:pStyle w:val="ListParagraph"/>
        <w:numPr>
          <w:ilvl w:val="0"/>
          <w:numId w:val="3"/>
        </w:numPr>
        <w:rPr>
          <w:rFonts w:asciiTheme="minorHAnsi" w:hAnsiTheme="minorHAnsi" w:cstheme="minorHAnsi"/>
          <w:sz w:val="21"/>
        </w:rPr>
      </w:pPr>
      <w:r w:rsidRPr="00773E08">
        <w:rPr>
          <w:rFonts w:asciiTheme="minorHAnsi" w:hAnsiTheme="minorHAnsi" w:cstheme="minorHAnsi"/>
          <w:sz w:val="21"/>
        </w:rPr>
        <w:t>Must obtain approval from Research Advisory Panel in CA Attorney General’s Office</w:t>
      </w:r>
    </w:p>
    <w:p w14:paraId="44D2D11A" w14:textId="48DF5A2A" w:rsidR="000B24DB" w:rsidRPr="00773E08" w:rsidRDefault="000B24DB" w:rsidP="000B24DB">
      <w:pPr>
        <w:pStyle w:val="ListParagraph"/>
        <w:numPr>
          <w:ilvl w:val="0"/>
          <w:numId w:val="3"/>
        </w:numPr>
        <w:rPr>
          <w:rFonts w:asciiTheme="minorHAnsi" w:hAnsiTheme="minorHAnsi" w:cstheme="minorHAnsi"/>
          <w:sz w:val="21"/>
        </w:rPr>
      </w:pPr>
      <w:r w:rsidRPr="00773E08">
        <w:rPr>
          <w:rFonts w:asciiTheme="minorHAnsi" w:hAnsiTheme="minorHAnsi" w:cstheme="minorHAnsi"/>
          <w:sz w:val="21"/>
        </w:rPr>
        <w:t>Must obtain approval from FDA for clinical and non-clinical research</w:t>
      </w:r>
    </w:p>
    <w:p w14:paraId="1AA50D6F" w14:textId="3E18EDBB" w:rsidR="004B7F25" w:rsidRPr="00773E08" w:rsidRDefault="004B7F25" w:rsidP="000B24DB">
      <w:pPr>
        <w:pStyle w:val="ListParagraph"/>
        <w:numPr>
          <w:ilvl w:val="0"/>
          <w:numId w:val="3"/>
        </w:numPr>
        <w:rPr>
          <w:rFonts w:asciiTheme="minorHAnsi" w:hAnsiTheme="minorHAnsi" w:cstheme="minorHAnsi"/>
          <w:sz w:val="21"/>
        </w:rPr>
      </w:pPr>
      <w:r w:rsidRPr="00773E08">
        <w:rPr>
          <w:rFonts w:asciiTheme="minorHAnsi" w:hAnsiTheme="minorHAnsi" w:cstheme="minorHAnsi"/>
          <w:sz w:val="21"/>
          <w:u w:val="single"/>
        </w:rPr>
        <w:t>Can</w:t>
      </w:r>
      <w:r w:rsidR="00A3387D" w:rsidRPr="00773E08">
        <w:rPr>
          <w:rFonts w:asciiTheme="minorHAnsi" w:hAnsiTheme="minorHAnsi" w:cstheme="minorHAnsi"/>
          <w:sz w:val="21"/>
          <w:u w:val="single"/>
        </w:rPr>
        <w:t>not</w:t>
      </w:r>
      <w:r w:rsidRPr="00773E08">
        <w:rPr>
          <w:rFonts w:asciiTheme="minorHAnsi" w:hAnsiTheme="minorHAnsi" w:cstheme="minorHAnsi"/>
          <w:sz w:val="21"/>
          <w:u w:val="single"/>
        </w:rPr>
        <w:t xml:space="preserve"> accept</w:t>
      </w:r>
      <w:r w:rsidRPr="00773E08">
        <w:rPr>
          <w:rFonts w:asciiTheme="minorHAnsi" w:hAnsiTheme="minorHAnsi" w:cstheme="minorHAnsi"/>
          <w:sz w:val="21"/>
        </w:rPr>
        <w:t xml:space="preserve"> research funding </w:t>
      </w:r>
      <w:r w:rsidR="00A3387D" w:rsidRPr="00773E08">
        <w:rPr>
          <w:rFonts w:asciiTheme="minorHAnsi" w:hAnsiTheme="minorHAnsi" w:cstheme="minorHAnsi"/>
          <w:sz w:val="21"/>
        </w:rPr>
        <w:t>from individuals or entities that directly obtain most of their revenue from the cannabis industry</w:t>
      </w:r>
    </w:p>
    <w:p w14:paraId="00093829" w14:textId="1788A0CC" w:rsidR="00A3387D" w:rsidRPr="00EC4FD8" w:rsidRDefault="00A3387D" w:rsidP="000B24DB">
      <w:pPr>
        <w:pStyle w:val="ListParagraph"/>
        <w:numPr>
          <w:ilvl w:val="0"/>
          <w:numId w:val="3"/>
        </w:numPr>
        <w:rPr>
          <w:rFonts w:asciiTheme="minorHAnsi" w:hAnsiTheme="minorHAnsi" w:cstheme="minorHAnsi"/>
          <w:sz w:val="21"/>
        </w:rPr>
      </w:pPr>
      <w:r w:rsidRPr="00EC4FD8">
        <w:rPr>
          <w:rFonts w:asciiTheme="minorHAnsi" w:hAnsiTheme="minorHAnsi" w:cstheme="minorHAnsi"/>
          <w:sz w:val="21"/>
          <w:u w:val="single"/>
        </w:rPr>
        <w:t xml:space="preserve">May </w:t>
      </w:r>
      <w:r w:rsidR="0094759C" w:rsidRPr="00EC4FD8">
        <w:rPr>
          <w:rFonts w:asciiTheme="minorHAnsi" w:hAnsiTheme="minorHAnsi" w:cstheme="minorHAnsi"/>
          <w:sz w:val="21"/>
          <w:u w:val="single"/>
        </w:rPr>
        <w:t xml:space="preserve">consider </w:t>
      </w:r>
      <w:r w:rsidRPr="00EC4FD8">
        <w:rPr>
          <w:rFonts w:asciiTheme="minorHAnsi" w:hAnsiTheme="minorHAnsi" w:cstheme="minorHAnsi"/>
          <w:sz w:val="21"/>
          <w:u w:val="single"/>
        </w:rPr>
        <w:t>accept</w:t>
      </w:r>
      <w:r w:rsidR="0094759C" w:rsidRPr="00EC4FD8">
        <w:rPr>
          <w:rFonts w:asciiTheme="minorHAnsi" w:hAnsiTheme="minorHAnsi" w:cstheme="minorHAnsi"/>
          <w:sz w:val="21"/>
          <w:u w:val="single"/>
        </w:rPr>
        <w:t>ing</w:t>
      </w:r>
      <w:r w:rsidRPr="00EC4FD8">
        <w:rPr>
          <w:rFonts w:asciiTheme="minorHAnsi" w:hAnsiTheme="minorHAnsi" w:cstheme="minorHAnsi"/>
          <w:sz w:val="21"/>
        </w:rPr>
        <w:t xml:space="preserve"> research funding from individuals or entities that directly obtain some revenue from cannabis but also have separately identifiable revenue streams not tied to </w:t>
      </w:r>
      <w:r w:rsidR="0094759C" w:rsidRPr="00EC4FD8">
        <w:rPr>
          <w:rFonts w:asciiTheme="minorHAnsi" w:hAnsiTheme="minorHAnsi" w:cstheme="minorHAnsi"/>
          <w:sz w:val="21"/>
        </w:rPr>
        <w:t>cannabis</w:t>
      </w:r>
    </w:p>
    <w:p w14:paraId="1361A19F" w14:textId="0AB0AEE5" w:rsidR="0094759C" w:rsidRPr="00EC4FD8" w:rsidRDefault="0094759C" w:rsidP="000B24DB">
      <w:pPr>
        <w:pStyle w:val="ListParagraph"/>
        <w:numPr>
          <w:ilvl w:val="0"/>
          <w:numId w:val="3"/>
        </w:numPr>
        <w:rPr>
          <w:rFonts w:asciiTheme="minorHAnsi" w:hAnsiTheme="minorHAnsi" w:cstheme="minorHAnsi"/>
          <w:sz w:val="21"/>
        </w:rPr>
      </w:pPr>
      <w:r w:rsidRPr="00EC4FD8">
        <w:rPr>
          <w:rFonts w:asciiTheme="minorHAnsi" w:hAnsiTheme="minorHAnsi" w:cstheme="minorHAnsi"/>
          <w:sz w:val="21"/>
          <w:u w:val="single"/>
        </w:rPr>
        <w:t>May consider accepting</w:t>
      </w:r>
      <w:r w:rsidRPr="00EC4FD8">
        <w:rPr>
          <w:rFonts w:asciiTheme="minorHAnsi" w:hAnsiTheme="minorHAnsi" w:cstheme="minorHAnsi"/>
          <w:sz w:val="21"/>
        </w:rPr>
        <w:t xml:space="preserve"> research funding from individuals or entities that are indirectly tied to cannabis (e.g., a company that provides lighting to indoor cannabis business)</w:t>
      </w:r>
    </w:p>
    <w:p w14:paraId="5FA8998B" w14:textId="1969D7BC" w:rsidR="00C75ECB" w:rsidRPr="00EC4FD8" w:rsidRDefault="0094759C" w:rsidP="000B24DB">
      <w:pPr>
        <w:pStyle w:val="ListParagraph"/>
        <w:numPr>
          <w:ilvl w:val="0"/>
          <w:numId w:val="3"/>
        </w:numPr>
        <w:rPr>
          <w:rFonts w:asciiTheme="minorHAnsi" w:hAnsiTheme="minorHAnsi" w:cstheme="minorHAnsi"/>
          <w:sz w:val="21"/>
        </w:rPr>
      </w:pPr>
      <w:r w:rsidRPr="00EC4FD8">
        <w:rPr>
          <w:rFonts w:asciiTheme="minorHAnsi" w:hAnsiTheme="minorHAnsi" w:cstheme="minorHAnsi"/>
          <w:sz w:val="21"/>
        </w:rPr>
        <w:t xml:space="preserve">Can analyze cannabis plants, seeds, extracts via </w:t>
      </w:r>
      <w:r w:rsidR="00C75ECB" w:rsidRPr="00EC4FD8">
        <w:rPr>
          <w:rFonts w:asciiTheme="minorHAnsi" w:hAnsiTheme="minorHAnsi" w:cstheme="minorHAnsi"/>
          <w:sz w:val="21"/>
        </w:rPr>
        <w:t>UC Davis</w:t>
      </w:r>
      <w:r w:rsidRPr="00EC4FD8">
        <w:rPr>
          <w:rFonts w:asciiTheme="minorHAnsi" w:hAnsiTheme="minorHAnsi" w:cstheme="minorHAnsi"/>
          <w:sz w:val="21"/>
        </w:rPr>
        <w:t xml:space="preserve"> agreement with Biopharmaceutical Research Company</w:t>
      </w:r>
      <w:r w:rsidR="00C75ECB" w:rsidRPr="00EC4FD8">
        <w:rPr>
          <w:rFonts w:asciiTheme="minorHAnsi" w:hAnsiTheme="minorHAnsi" w:cstheme="minorHAnsi"/>
          <w:sz w:val="21"/>
        </w:rPr>
        <w:t xml:space="preserve"> (analysis must be at BRC lab</w:t>
      </w:r>
      <w:r w:rsidR="000B24DB" w:rsidRPr="00EC4FD8">
        <w:rPr>
          <w:rFonts w:asciiTheme="minorHAnsi" w:hAnsiTheme="minorHAnsi" w:cstheme="minorHAnsi"/>
          <w:sz w:val="21"/>
        </w:rPr>
        <w:t>, which has received DEA Analytical Registration</w:t>
      </w:r>
      <w:r w:rsidR="00C75ECB" w:rsidRPr="00EC4FD8">
        <w:rPr>
          <w:rFonts w:asciiTheme="minorHAnsi" w:hAnsiTheme="minorHAnsi" w:cstheme="minorHAnsi"/>
          <w:sz w:val="21"/>
        </w:rPr>
        <w:t>)</w:t>
      </w:r>
    </w:p>
    <w:p w14:paraId="767D75DF" w14:textId="5B48F77A" w:rsidR="000B24DB" w:rsidRPr="00EC4FD8" w:rsidRDefault="000B24DB" w:rsidP="000B24DB">
      <w:pPr>
        <w:pStyle w:val="ListParagraph"/>
        <w:numPr>
          <w:ilvl w:val="0"/>
          <w:numId w:val="3"/>
        </w:numPr>
        <w:rPr>
          <w:rFonts w:asciiTheme="minorHAnsi" w:hAnsiTheme="minorHAnsi" w:cstheme="minorHAnsi"/>
          <w:sz w:val="21"/>
        </w:rPr>
      </w:pPr>
      <w:r w:rsidRPr="00EC4FD8">
        <w:rPr>
          <w:rFonts w:asciiTheme="minorHAnsi" w:hAnsiTheme="minorHAnsi" w:cstheme="minorHAnsi"/>
          <w:sz w:val="21"/>
        </w:rPr>
        <w:t>May conduct cannabis research that does not involve the direct use, possession, distribution, or cultivation of cannabis (e.g., surveying individuals who use cannabis, analyzing public records).</w:t>
      </w:r>
    </w:p>
    <w:p w14:paraId="194ADA51" w14:textId="5607A46D" w:rsidR="000B24DB" w:rsidRPr="00EC4FD8" w:rsidRDefault="000B24DB" w:rsidP="000B24DB">
      <w:pPr>
        <w:pStyle w:val="ListParagraph"/>
        <w:numPr>
          <w:ilvl w:val="0"/>
          <w:numId w:val="3"/>
        </w:numPr>
        <w:rPr>
          <w:rFonts w:asciiTheme="minorHAnsi" w:hAnsiTheme="minorHAnsi" w:cstheme="minorHAnsi"/>
          <w:sz w:val="21"/>
        </w:rPr>
      </w:pPr>
      <w:r w:rsidRPr="00EC4FD8">
        <w:rPr>
          <w:rFonts w:asciiTheme="minorHAnsi" w:hAnsiTheme="minorHAnsi" w:cstheme="minorHAnsi"/>
          <w:sz w:val="21"/>
        </w:rPr>
        <w:t>Faculty conducting outside work not allowable under federal law would accept the risk as private citizens, would not be allowed to use UC resources and must make clear in publications that the work was not done with UC resources.</w:t>
      </w:r>
    </w:p>
    <w:p w14:paraId="6A470041" w14:textId="25DFF34F" w:rsidR="0094759C" w:rsidRDefault="0094759C" w:rsidP="00C75ECB">
      <w:pPr>
        <w:rPr>
          <w:rFonts w:asciiTheme="minorHAnsi" w:hAnsiTheme="minorHAnsi" w:cstheme="minorHAnsi"/>
          <w:sz w:val="18"/>
        </w:rPr>
      </w:pPr>
    </w:p>
    <w:p w14:paraId="1B85E8DB" w14:textId="7B42D426" w:rsidR="0025703A" w:rsidRDefault="0025703A" w:rsidP="00C75ECB">
      <w:pPr>
        <w:rPr>
          <w:rFonts w:asciiTheme="minorHAnsi" w:hAnsiTheme="minorHAnsi" w:cstheme="minorHAnsi"/>
          <w:sz w:val="18"/>
        </w:rPr>
      </w:pPr>
    </w:p>
    <w:p w14:paraId="4DD1B7A8" w14:textId="77777777" w:rsidR="0025703A" w:rsidRDefault="0025703A" w:rsidP="00C75ECB">
      <w:pPr>
        <w:rPr>
          <w:rFonts w:asciiTheme="minorHAnsi" w:hAnsiTheme="minorHAnsi" w:cstheme="minorHAnsi"/>
          <w:sz w:val="18"/>
        </w:rPr>
      </w:pPr>
    </w:p>
    <w:p w14:paraId="1F84E1CF" w14:textId="0BA5D2C8" w:rsidR="00EC4FD8" w:rsidRDefault="008A7FA4" w:rsidP="00C75ECB">
      <w:pPr>
        <w:rPr>
          <w:rFonts w:asciiTheme="minorHAnsi" w:hAnsiTheme="minorHAnsi" w:cstheme="minorHAnsi"/>
          <w:sz w:val="16"/>
        </w:rPr>
      </w:pPr>
      <w:hyperlink r:id="rId7" w:history="1">
        <w:r w:rsidR="00EC4FD8" w:rsidRPr="00EC4FD8">
          <w:rPr>
            <w:rStyle w:val="Hyperlink"/>
            <w:rFonts w:asciiTheme="minorHAnsi" w:hAnsiTheme="minorHAnsi" w:cstheme="minorHAnsi"/>
            <w:sz w:val="16"/>
          </w:rPr>
          <w:t>Industrial hemp FAQ</w:t>
        </w:r>
      </w:hyperlink>
      <w:r w:rsidR="00EC4FD8">
        <w:rPr>
          <w:rFonts w:asciiTheme="minorHAnsi" w:hAnsiTheme="minorHAnsi" w:cstheme="minorHAnsi"/>
          <w:sz w:val="16"/>
        </w:rPr>
        <w:t>, UC Office of the President</w:t>
      </w:r>
    </w:p>
    <w:p w14:paraId="2E202DB1" w14:textId="5B4EAC99" w:rsidR="0094759C" w:rsidRDefault="00EC4FD8" w:rsidP="004B7F25">
      <w:pPr>
        <w:rPr>
          <w:rFonts w:asciiTheme="minorHAnsi" w:hAnsiTheme="minorHAnsi" w:cstheme="minorHAnsi"/>
          <w:sz w:val="16"/>
        </w:rPr>
      </w:pPr>
      <w:hyperlink r:id="rId8" w:history="1">
        <w:r w:rsidRPr="00EC4FD8">
          <w:rPr>
            <w:rStyle w:val="Hyperlink"/>
            <w:rFonts w:asciiTheme="minorHAnsi" w:hAnsiTheme="minorHAnsi" w:cstheme="minorHAnsi"/>
            <w:sz w:val="16"/>
          </w:rPr>
          <w:t>Pilot Approach When Considering Funding from the Marijuana Industry</w:t>
        </w:r>
      </w:hyperlink>
      <w:r>
        <w:rPr>
          <w:rFonts w:asciiTheme="minorHAnsi" w:hAnsiTheme="minorHAnsi" w:cstheme="minorHAnsi"/>
          <w:sz w:val="16"/>
        </w:rPr>
        <w:t>, UC Office of the President</w:t>
      </w:r>
      <w:r w:rsidR="00673F12">
        <w:rPr>
          <w:rFonts w:asciiTheme="minorHAnsi" w:hAnsiTheme="minorHAnsi" w:cstheme="minorHAnsi"/>
          <w:sz w:val="16"/>
        </w:rPr>
        <w:t>, 3/19/19</w:t>
      </w:r>
    </w:p>
    <w:p w14:paraId="1047334E" w14:textId="406A77E9" w:rsidR="00EC4FD8" w:rsidRPr="0025703A" w:rsidRDefault="008A7FA4" w:rsidP="004B7F25">
      <w:pPr>
        <w:rPr>
          <w:rFonts w:asciiTheme="minorHAnsi" w:hAnsiTheme="minorHAnsi" w:cstheme="minorHAnsi"/>
          <w:sz w:val="16"/>
        </w:rPr>
      </w:pPr>
      <w:hyperlink r:id="rId9" w:history="1">
        <w:r w:rsidR="00EC4FD8" w:rsidRPr="00EC4FD8">
          <w:rPr>
            <w:rStyle w:val="Hyperlink"/>
            <w:rFonts w:asciiTheme="minorHAnsi" w:hAnsiTheme="minorHAnsi" w:cstheme="minorHAnsi"/>
            <w:sz w:val="16"/>
          </w:rPr>
          <w:t>Updated Information for Researchers on Conducting Marijuana Research at the University of California</w:t>
        </w:r>
      </w:hyperlink>
      <w:r w:rsidR="00EC4FD8">
        <w:rPr>
          <w:rFonts w:asciiTheme="minorHAnsi" w:hAnsiTheme="minorHAnsi" w:cstheme="minorHAnsi"/>
          <w:sz w:val="16"/>
        </w:rPr>
        <w:t>, UC Office of the President</w:t>
      </w:r>
      <w:r w:rsidR="00673F12">
        <w:rPr>
          <w:rFonts w:asciiTheme="minorHAnsi" w:hAnsiTheme="minorHAnsi" w:cstheme="minorHAnsi"/>
          <w:sz w:val="16"/>
        </w:rPr>
        <w:t>, 7/24/18</w:t>
      </w:r>
    </w:p>
    <w:sectPr w:rsidR="00EC4FD8" w:rsidRPr="0025703A" w:rsidSect="00CB577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751FA" w14:textId="77777777" w:rsidR="00561752" w:rsidRDefault="00561752" w:rsidP="00773E08">
      <w:r>
        <w:separator/>
      </w:r>
    </w:p>
  </w:endnote>
  <w:endnote w:type="continuationSeparator" w:id="0">
    <w:p w14:paraId="7E7CED28" w14:textId="77777777" w:rsidR="00561752" w:rsidRDefault="00561752" w:rsidP="0077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380DA" w14:textId="36A36904" w:rsidR="00773E08" w:rsidRPr="0025703A" w:rsidRDefault="00773E08">
    <w:pPr>
      <w:pStyle w:val="Footer"/>
      <w:rPr>
        <w:rFonts w:asciiTheme="minorHAnsi" w:hAnsiTheme="minorHAnsi" w:cstheme="minorHAnsi"/>
        <w:sz w:val="15"/>
        <w:szCs w:val="15"/>
      </w:rPr>
    </w:pPr>
    <w:r w:rsidRPr="0025703A">
      <w:rPr>
        <w:rFonts w:asciiTheme="minorHAnsi" w:hAnsiTheme="minorHAnsi" w:cstheme="minorHAnsi"/>
        <w:sz w:val="15"/>
        <w:szCs w:val="15"/>
      </w:rPr>
      <w:t xml:space="preserve">Dan Flynn, </w:t>
    </w:r>
    <w:r w:rsidR="00660BD3" w:rsidRPr="0025703A">
      <w:rPr>
        <w:rFonts w:asciiTheme="minorHAnsi" w:hAnsiTheme="minorHAnsi" w:cstheme="minorHAnsi"/>
        <w:sz w:val="15"/>
        <w:szCs w:val="15"/>
      </w:rPr>
      <w:t xml:space="preserve">Dean’s Office, College of Agricultural and Environmental Sciences, </w:t>
    </w:r>
    <w:r w:rsidRPr="0025703A">
      <w:rPr>
        <w:rFonts w:asciiTheme="minorHAnsi" w:hAnsiTheme="minorHAnsi" w:cstheme="minorHAnsi"/>
        <w:sz w:val="15"/>
        <w:szCs w:val="15"/>
      </w:rPr>
      <w:t xml:space="preserve">rev. </w:t>
    </w:r>
    <w:r w:rsidR="00660BD3" w:rsidRPr="0025703A">
      <w:rPr>
        <w:rFonts w:asciiTheme="minorHAnsi" w:hAnsiTheme="minorHAnsi" w:cstheme="minorHAnsi"/>
        <w:sz w:val="15"/>
        <w:szCs w:val="15"/>
      </w:rPr>
      <w:t>Nov 1</w:t>
    </w:r>
    <w:r w:rsidRPr="0025703A">
      <w:rPr>
        <w:rFonts w:asciiTheme="minorHAnsi" w:hAnsiTheme="minorHAnsi" w:cstheme="minorHAnsi"/>
        <w:sz w:val="15"/>
        <w:szCs w:val="15"/>
      </w:rPr>
      <w: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35609" w14:textId="77777777" w:rsidR="00561752" w:rsidRDefault="00561752" w:rsidP="00773E08">
      <w:r>
        <w:separator/>
      </w:r>
    </w:p>
  </w:footnote>
  <w:footnote w:type="continuationSeparator" w:id="0">
    <w:p w14:paraId="62E6A61C" w14:textId="77777777" w:rsidR="00561752" w:rsidRDefault="00561752" w:rsidP="00773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A14A0"/>
    <w:multiLevelType w:val="hybridMultilevel"/>
    <w:tmpl w:val="97644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811FB"/>
    <w:multiLevelType w:val="hybridMultilevel"/>
    <w:tmpl w:val="FD542D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3A54CD"/>
    <w:multiLevelType w:val="hybridMultilevel"/>
    <w:tmpl w:val="0DE66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C50"/>
    <w:rsid w:val="000B24DB"/>
    <w:rsid w:val="0025703A"/>
    <w:rsid w:val="00273E92"/>
    <w:rsid w:val="004B7F25"/>
    <w:rsid w:val="00501FBB"/>
    <w:rsid w:val="00561752"/>
    <w:rsid w:val="00660BD3"/>
    <w:rsid w:val="00673F12"/>
    <w:rsid w:val="00690385"/>
    <w:rsid w:val="00764971"/>
    <w:rsid w:val="00773E08"/>
    <w:rsid w:val="008A7FA4"/>
    <w:rsid w:val="0094759C"/>
    <w:rsid w:val="009B0C50"/>
    <w:rsid w:val="00A3387D"/>
    <w:rsid w:val="00A3782F"/>
    <w:rsid w:val="00B15F83"/>
    <w:rsid w:val="00BF69DD"/>
    <w:rsid w:val="00C75ECB"/>
    <w:rsid w:val="00CB577D"/>
    <w:rsid w:val="00EA7FBC"/>
    <w:rsid w:val="00EC4FD8"/>
    <w:rsid w:val="00F32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AA98D"/>
  <w14:defaultImageDpi w14:val="32767"/>
  <w15:chartTrackingRefBased/>
  <w15:docId w15:val="{ADEEAFBA-FB0B-6343-9504-C1B8BF85B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C5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0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C50"/>
    <w:pPr>
      <w:ind w:left="720"/>
      <w:contextualSpacing/>
    </w:pPr>
  </w:style>
  <w:style w:type="character" w:styleId="Hyperlink">
    <w:name w:val="Hyperlink"/>
    <w:basedOn w:val="DefaultParagraphFont"/>
    <w:uiPriority w:val="99"/>
    <w:unhideWhenUsed/>
    <w:rsid w:val="0094759C"/>
    <w:rPr>
      <w:color w:val="0563C1" w:themeColor="hyperlink"/>
      <w:u w:val="single"/>
    </w:rPr>
  </w:style>
  <w:style w:type="character" w:customStyle="1" w:styleId="UnresolvedMention1">
    <w:name w:val="Unresolved Mention1"/>
    <w:basedOn w:val="DefaultParagraphFont"/>
    <w:uiPriority w:val="99"/>
    <w:rsid w:val="0094759C"/>
    <w:rPr>
      <w:color w:val="605E5C"/>
      <w:shd w:val="clear" w:color="auto" w:fill="E1DFDD"/>
    </w:rPr>
  </w:style>
  <w:style w:type="character" w:styleId="FollowedHyperlink">
    <w:name w:val="FollowedHyperlink"/>
    <w:basedOn w:val="DefaultParagraphFont"/>
    <w:uiPriority w:val="99"/>
    <w:semiHidden/>
    <w:unhideWhenUsed/>
    <w:rsid w:val="00C75ECB"/>
    <w:rPr>
      <w:color w:val="954F72" w:themeColor="followedHyperlink"/>
      <w:u w:val="single"/>
    </w:rPr>
  </w:style>
  <w:style w:type="paragraph" w:styleId="NormalWeb">
    <w:name w:val="Normal (Web)"/>
    <w:basedOn w:val="Normal"/>
    <w:uiPriority w:val="99"/>
    <w:semiHidden/>
    <w:unhideWhenUsed/>
    <w:rsid w:val="000B24DB"/>
  </w:style>
  <w:style w:type="paragraph" w:styleId="Header">
    <w:name w:val="header"/>
    <w:basedOn w:val="Normal"/>
    <w:link w:val="HeaderChar"/>
    <w:uiPriority w:val="99"/>
    <w:unhideWhenUsed/>
    <w:rsid w:val="00773E08"/>
    <w:pPr>
      <w:tabs>
        <w:tab w:val="center" w:pos="4680"/>
        <w:tab w:val="right" w:pos="9360"/>
      </w:tabs>
    </w:pPr>
  </w:style>
  <w:style w:type="character" w:customStyle="1" w:styleId="HeaderChar">
    <w:name w:val="Header Char"/>
    <w:basedOn w:val="DefaultParagraphFont"/>
    <w:link w:val="Header"/>
    <w:uiPriority w:val="99"/>
    <w:rsid w:val="00773E08"/>
    <w:rPr>
      <w:rFonts w:ascii="Times New Roman" w:eastAsia="Times New Roman" w:hAnsi="Times New Roman" w:cs="Times New Roman"/>
    </w:rPr>
  </w:style>
  <w:style w:type="paragraph" w:styleId="Footer">
    <w:name w:val="footer"/>
    <w:basedOn w:val="Normal"/>
    <w:link w:val="FooterChar"/>
    <w:uiPriority w:val="99"/>
    <w:unhideWhenUsed/>
    <w:rsid w:val="00773E08"/>
    <w:pPr>
      <w:tabs>
        <w:tab w:val="center" w:pos="4680"/>
        <w:tab w:val="right" w:pos="9360"/>
      </w:tabs>
    </w:pPr>
  </w:style>
  <w:style w:type="character" w:customStyle="1" w:styleId="FooterChar">
    <w:name w:val="Footer Char"/>
    <w:basedOn w:val="DefaultParagraphFont"/>
    <w:link w:val="Footer"/>
    <w:uiPriority w:val="99"/>
    <w:rsid w:val="00773E0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437495">
      <w:bodyDiv w:val="1"/>
      <w:marLeft w:val="0"/>
      <w:marRight w:val="0"/>
      <w:marTop w:val="0"/>
      <w:marBottom w:val="0"/>
      <w:divBdr>
        <w:top w:val="none" w:sz="0" w:space="0" w:color="auto"/>
        <w:left w:val="none" w:sz="0" w:space="0" w:color="auto"/>
        <w:bottom w:val="none" w:sz="0" w:space="0" w:color="auto"/>
        <w:right w:val="none" w:sz="0" w:space="0" w:color="auto"/>
      </w:divBdr>
    </w:div>
    <w:div w:id="609169670">
      <w:bodyDiv w:val="1"/>
      <w:marLeft w:val="0"/>
      <w:marRight w:val="0"/>
      <w:marTop w:val="0"/>
      <w:marBottom w:val="0"/>
      <w:divBdr>
        <w:top w:val="none" w:sz="0" w:space="0" w:color="auto"/>
        <w:left w:val="none" w:sz="0" w:space="0" w:color="auto"/>
        <w:bottom w:val="none" w:sz="0" w:space="0" w:color="auto"/>
        <w:right w:val="none" w:sz="0" w:space="0" w:color="auto"/>
      </w:divBdr>
      <w:divsChild>
        <w:div w:id="2051490067">
          <w:marLeft w:val="0"/>
          <w:marRight w:val="0"/>
          <w:marTop w:val="0"/>
          <w:marBottom w:val="0"/>
          <w:divBdr>
            <w:top w:val="none" w:sz="0" w:space="0" w:color="auto"/>
            <w:left w:val="none" w:sz="0" w:space="0" w:color="auto"/>
            <w:bottom w:val="none" w:sz="0" w:space="0" w:color="auto"/>
            <w:right w:val="none" w:sz="0" w:space="0" w:color="auto"/>
          </w:divBdr>
          <w:divsChild>
            <w:div w:id="1594899253">
              <w:marLeft w:val="0"/>
              <w:marRight w:val="0"/>
              <w:marTop w:val="0"/>
              <w:marBottom w:val="0"/>
              <w:divBdr>
                <w:top w:val="none" w:sz="0" w:space="0" w:color="auto"/>
                <w:left w:val="none" w:sz="0" w:space="0" w:color="auto"/>
                <w:bottom w:val="none" w:sz="0" w:space="0" w:color="auto"/>
                <w:right w:val="none" w:sz="0" w:space="0" w:color="auto"/>
              </w:divBdr>
              <w:divsChild>
                <w:div w:id="37685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669699">
      <w:bodyDiv w:val="1"/>
      <w:marLeft w:val="0"/>
      <w:marRight w:val="0"/>
      <w:marTop w:val="0"/>
      <w:marBottom w:val="0"/>
      <w:divBdr>
        <w:top w:val="none" w:sz="0" w:space="0" w:color="auto"/>
        <w:left w:val="none" w:sz="0" w:space="0" w:color="auto"/>
        <w:bottom w:val="none" w:sz="0" w:space="0" w:color="auto"/>
        <w:right w:val="none" w:sz="0" w:space="0" w:color="auto"/>
      </w:divBdr>
    </w:div>
    <w:div w:id="1105270334">
      <w:bodyDiv w:val="1"/>
      <w:marLeft w:val="0"/>
      <w:marRight w:val="0"/>
      <w:marTop w:val="0"/>
      <w:marBottom w:val="0"/>
      <w:divBdr>
        <w:top w:val="none" w:sz="0" w:space="0" w:color="auto"/>
        <w:left w:val="none" w:sz="0" w:space="0" w:color="auto"/>
        <w:bottom w:val="none" w:sz="0" w:space="0" w:color="auto"/>
        <w:right w:val="none" w:sz="0" w:space="0" w:color="auto"/>
      </w:divBdr>
      <w:divsChild>
        <w:div w:id="2100758627">
          <w:marLeft w:val="0"/>
          <w:marRight w:val="0"/>
          <w:marTop w:val="0"/>
          <w:marBottom w:val="0"/>
          <w:divBdr>
            <w:top w:val="none" w:sz="0" w:space="0" w:color="auto"/>
            <w:left w:val="none" w:sz="0" w:space="0" w:color="auto"/>
            <w:bottom w:val="none" w:sz="0" w:space="0" w:color="auto"/>
            <w:right w:val="none" w:sz="0" w:space="0" w:color="auto"/>
          </w:divBdr>
          <w:divsChild>
            <w:div w:id="1644579301">
              <w:marLeft w:val="0"/>
              <w:marRight w:val="0"/>
              <w:marTop w:val="0"/>
              <w:marBottom w:val="0"/>
              <w:divBdr>
                <w:top w:val="none" w:sz="0" w:space="0" w:color="auto"/>
                <w:left w:val="none" w:sz="0" w:space="0" w:color="auto"/>
                <w:bottom w:val="none" w:sz="0" w:space="0" w:color="auto"/>
                <w:right w:val="none" w:sz="0" w:space="0" w:color="auto"/>
              </w:divBdr>
              <w:divsChild>
                <w:div w:id="15569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153111">
      <w:bodyDiv w:val="1"/>
      <w:marLeft w:val="0"/>
      <w:marRight w:val="0"/>
      <w:marTop w:val="0"/>
      <w:marBottom w:val="0"/>
      <w:divBdr>
        <w:top w:val="none" w:sz="0" w:space="0" w:color="auto"/>
        <w:left w:val="none" w:sz="0" w:space="0" w:color="auto"/>
        <w:bottom w:val="none" w:sz="0" w:space="0" w:color="auto"/>
        <w:right w:val="none" w:sz="0" w:space="0" w:color="auto"/>
      </w:divBdr>
    </w:div>
    <w:div w:id="1685744303">
      <w:bodyDiv w:val="1"/>
      <w:marLeft w:val="0"/>
      <w:marRight w:val="0"/>
      <w:marTop w:val="0"/>
      <w:marBottom w:val="0"/>
      <w:divBdr>
        <w:top w:val="none" w:sz="0" w:space="0" w:color="auto"/>
        <w:left w:val="none" w:sz="0" w:space="0" w:color="auto"/>
        <w:bottom w:val="none" w:sz="0" w:space="0" w:color="auto"/>
        <w:right w:val="none" w:sz="0" w:space="0" w:color="auto"/>
      </w:divBdr>
      <w:divsChild>
        <w:div w:id="566182586">
          <w:marLeft w:val="0"/>
          <w:marRight w:val="0"/>
          <w:marTop w:val="0"/>
          <w:marBottom w:val="0"/>
          <w:divBdr>
            <w:top w:val="none" w:sz="0" w:space="0" w:color="auto"/>
            <w:left w:val="none" w:sz="0" w:space="0" w:color="auto"/>
            <w:bottom w:val="none" w:sz="0" w:space="0" w:color="auto"/>
            <w:right w:val="none" w:sz="0" w:space="0" w:color="auto"/>
          </w:divBdr>
          <w:divsChild>
            <w:div w:id="758259028">
              <w:marLeft w:val="0"/>
              <w:marRight w:val="0"/>
              <w:marTop w:val="0"/>
              <w:marBottom w:val="0"/>
              <w:divBdr>
                <w:top w:val="none" w:sz="0" w:space="0" w:color="auto"/>
                <w:left w:val="none" w:sz="0" w:space="0" w:color="auto"/>
                <w:bottom w:val="none" w:sz="0" w:space="0" w:color="auto"/>
                <w:right w:val="none" w:sz="0" w:space="0" w:color="auto"/>
              </w:divBdr>
              <w:divsChild>
                <w:div w:id="5024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91808">
      <w:bodyDiv w:val="1"/>
      <w:marLeft w:val="0"/>
      <w:marRight w:val="0"/>
      <w:marTop w:val="0"/>
      <w:marBottom w:val="0"/>
      <w:divBdr>
        <w:top w:val="none" w:sz="0" w:space="0" w:color="auto"/>
        <w:left w:val="none" w:sz="0" w:space="0" w:color="auto"/>
        <w:bottom w:val="none" w:sz="0" w:space="0" w:color="auto"/>
        <w:right w:val="none" w:sz="0" w:space="0" w:color="auto"/>
      </w:divBdr>
      <w:divsChild>
        <w:div w:id="781992055">
          <w:marLeft w:val="0"/>
          <w:marRight w:val="0"/>
          <w:marTop w:val="0"/>
          <w:marBottom w:val="0"/>
          <w:divBdr>
            <w:top w:val="none" w:sz="0" w:space="0" w:color="auto"/>
            <w:left w:val="none" w:sz="0" w:space="0" w:color="auto"/>
            <w:bottom w:val="none" w:sz="0" w:space="0" w:color="auto"/>
            <w:right w:val="none" w:sz="0" w:space="0" w:color="auto"/>
          </w:divBdr>
          <w:divsChild>
            <w:div w:id="664363560">
              <w:marLeft w:val="0"/>
              <w:marRight w:val="0"/>
              <w:marTop w:val="0"/>
              <w:marBottom w:val="0"/>
              <w:divBdr>
                <w:top w:val="none" w:sz="0" w:space="0" w:color="auto"/>
                <w:left w:val="none" w:sz="0" w:space="0" w:color="auto"/>
                <w:bottom w:val="none" w:sz="0" w:space="0" w:color="auto"/>
                <w:right w:val="none" w:sz="0" w:space="0" w:color="auto"/>
              </w:divBdr>
              <w:divsChild>
                <w:div w:id="26681294">
                  <w:marLeft w:val="0"/>
                  <w:marRight w:val="0"/>
                  <w:marTop w:val="0"/>
                  <w:marBottom w:val="0"/>
                  <w:divBdr>
                    <w:top w:val="none" w:sz="0" w:space="0" w:color="auto"/>
                    <w:left w:val="none" w:sz="0" w:space="0" w:color="auto"/>
                    <w:bottom w:val="none" w:sz="0" w:space="0" w:color="auto"/>
                    <w:right w:val="none" w:sz="0" w:space="0" w:color="auto"/>
                  </w:divBdr>
                </w:div>
              </w:divsChild>
            </w:div>
            <w:div w:id="575819598">
              <w:marLeft w:val="0"/>
              <w:marRight w:val="0"/>
              <w:marTop w:val="0"/>
              <w:marBottom w:val="0"/>
              <w:divBdr>
                <w:top w:val="none" w:sz="0" w:space="0" w:color="auto"/>
                <w:left w:val="none" w:sz="0" w:space="0" w:color="auto"/>
                <w:bottom w:val="none" w:sz="0" w:space="0" w:color="auto"/>
                <w:right w:val="none" w:sz="0" w:space="0" w:color="auto"/>
              </w:divBdr>
              <w:divsChild>
                <w:div w:id="1260598777">
                  <w:marLeft w:val="0"/>
                  <w:marRight w:val="0"/>
                  <w:marTop w:val="0"/>
                  <w:marBottom w:val="0"/>
                  <w:divBdr>
                    <w:top w:val="none" w:sz="0" w:space="0" w:color="auto"/>
                    <w:left w:val="none" w:sz="0" w:space="0" w:color="auto"/>
                    <w:bottom w:val="none" w:sz="0" w:space="0" w:color="auto"/>
                    <w:right w:val="none" w:sz="0" w:space="0" w:color="auto"/>
                  </w:divBdr>
                </w:div>
              </w:divsChild>
            </w:div>
            <w:div w:id="1942957634">
              <w:marLeft w:val="0"/>
              <w:marRight w:val="0"/>
              <w:marTop w:val="0"/>
              <w:marBottom w:val="0"/>
              <w:divBdr>
                <w:top w:val="none" w:sz="0" w:space="0" w:color="auto"/>
                <w:left w:val="none" w:sz="0" w:space="0" w:color="auto"/>
                <w:bottom w:val="none" w:sz="0" w:space="0" w:color="auto"/>
                <w:right w:val="none" w:sz="0" w:space="0" w:color="auto"/>
              </w:divBdr>
              <w:divsChild>
                <w:div w:id="21318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71066">
          <w:marLeft w:val="0"/>
          <w:marRight w:val="0"/>
          <w:marTop w:val="0"/>
          <w:marBottom w:val="0"/>
          <w:divBdr>
            <w:top w:val="none" w:sz="0" w:space="0" w:color="auto"/>
            <w:left w:val="none" w:sz="0" w:space="0" w:color="auto"/>
            <w:bottom w:val="none" w:sz="0" w:space="0" w:color="auto"/>
            <w:right w:val="none" w:sz="0" w:space="0" w:color="auto"/>
          </w:divBdr>
          <w:divsChild>
            <w:div w:id="118107704">
              <w:marLeft w:val="0"/>
              <w:marRight w:val="0"/>
              <w:marTop w:val="0"/>
              <w:marBottom w:val="0"/>
              <w:divBdr>
                <w:top w:val="none" w:sz="0" w:space="0" w:color="auto"/>
                <w:left w:val="none" w:sz="0" w:space="0" w:color="auto"/>
                <w:bottom w:val="none" w:sz="0" w:space="0" w:color="auto"/>
                <w:right w:val="none" w:sz="0" w:space="0" w:color="auto"/>
              </w:divBdr>
              <w:divsChild>
                <w:div w:id="97722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2810">
      <w:bodyDiv w:val="1"/>
      <w:marLeft w:val="0"/>
      <w:marRight w:val="0"/>
      <w:marTop w:val="0"/>
      <w:marBottom w:val="0"/>
      <w:divBdr>
        <w:top w:val="none" w:sz="0" w:space="0" w:color="auto"/>
        <w:left w:val="none" w:sz="0" w:space="0" w:color="auto"/>
        <w:bottom w:val="none" w:sz="0" w:space="0" w:color="auto"/>
        <w:right w:val="none" w:sz="0" w:space="0" w:color="auto"/>
      </w:divBdr>
      <w:divsChild>
        <w:div w:id="1136995407">
          <w:marLeft w:val="0"/>
          <w:marRight w:val="0"/>
          <w:marTop w:val="0"/>
          <w:marBottom w:val="0"/>
          <w:divBdr>
            <w:top w:val="none" w:sz="0" w:space="0" w:color="auto"/>
            <w:left w:val="none" w:sz="0" w:space="0" w:color="auto"/>
            <w:bottom w:val="none" w:sz="0" w:space="0" w:color="auto"/>
            <w:right w:val="none" w:sz="0" w:space="0" w:color="auto"/>
          </w:divBdr>
          <w:divsChild>
            <w:div w:id="1846164579">
              <w:marLeft w:val="0"/>
              <w:marRight w:val="0"/>
              <w:marTop w:val="0"/>
              <w:marBottom w:val="0"/>
              <w:divBdr>
                <w:top w:val="none" w:sz="0" w:space="0" w:color="auto"/>
                <w:left w:val="none" w:sz="0" w:space="0" w:color="auto"/>
                <w:bottom w:val="none" w:sz="0" w:space="0" w:color="auto"/>
                <w:right w:val="none" w:sz="0" w:space="0" w:color="auto"/>
              </w:divBdr>
              <w:divsChild>
                <w:div w:id="110861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76072">
      <w:bodyDiv w:val="1"/>
      <w:marLeft w:val="0"/>
      <w:marRight w:val="0"/>
      <w:marTop w:val="0"/>
      <w:marBottom w:val="0"/>
      <w:divBdr>
        <w:top w:val="none" w:sz="0" w:space="0" w:color="auto"/>
        <w:left w:val="none" w:sz="0" w:space="0" w:color="auto"/>
        <w:bottom w:val="none" w:sz="0" w:space="0" w:color="auto"/>
        <w:right w:val="none" w:sz="0" w:space="0" w:color="auto"/>
      </w:divBdr>
    </w:div>
    <w:div w:id="206579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memos.ucop.edu/index.php/site/memoDetail/memo_id/RPAC-19-02" TargetMode="External"/><Relationship Id="rId3" Type="http://schemas.openxmlformats.org/officeDocument/2006/relationships/settings" Target="settings.xml"/><Relationship Id="rId7" Type="http://schemas.openxmlformats.org/officeDocument/2006/relationships/hyperlink" Target="https://www.ucop.edu/research-policy-analysis-coordination/policies-guidance/cannabis/industrial-hemp-faq.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esearchmemos.ucop.edu/index.php/site/memoDetail/memo_id/RPAC-18-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512</Words>
  <Characters>2925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Perry King</cp:lastModifiedBy>
  <cp:revision>2</cp:revision>
  <dcterms:created xsi:type="dcterms:W3CDTF">2019-11-08T18:45:00Z</dcterms:created>
  <dcterms:modified xsi:type="dcterms:W3CDTF">2019-11-08T18:45:00Z</dcterms:modified>
</cp:coreProperties>
</file>